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3D952" w14:textId="77777777" w:rsidR="00EA07E9" w:rsidRDefault="00594341">
      <w:pPr>
        <w:jc w:val="center"/>
        <w:rPr>
          <w:rFonts w:ascii="Arial Narrow" w:eastAsia="Arial Narrow" w:hAnsi="Arial Narrow" w:cs="Arial Narrow"/>
          <w:b/>
        </w:rPr>
      </w:pPr>
      <w:bookmarkStart w:id="0" w:name="_heading=h.gjdgxs" w:colFirst="0" w:colLast="0"/>
      <w:bookmarkEnd w:id="0"/>
      <w:r>
        <w:rPr>
          <w:rFonts w:ascii="Arial Narrow" w:eastAsia="Arial Narrow" w:hAnsi="Arial Narrow" w:cs="Arial Narrow"/>
          <w:b/>
        </w:rPr>
        <w:t>OŚWIADCZENIE UCZESTNIKA PROJEKTU</w:t>
      </w:r>
    </w:p>
    <w:p w14:paraId="76945981" w14:textId="77777777" w:rsidR="00EA07E9" w:rsidRDefault="00594341">
      <w:pPr>
        <w:jc w:val="center"/>
        <w:rPr>
          <w:rFonts w:ascii="Arial Narrow" w:eastAsia="Arial Narrow" w:hAnsi="Arial Narrow" w:cs="Arial Narrow"/>
        </w:rPr>
      </w:pPr>
      <w:r>
        <w:rPr>
          <w:rFonts w:ascii="Arial Narrow" w:eastAsia="Arial Narrow" w:hAnsi="Arial Narrow" w:cs="Arial Narrow"/>
        </w:rPr>
        <w:t xml:space="preserve">(obowiązek informacyjny realizowany w związku z art. 13 i art. 14  Rozporządzenia Parlamentu Europejskiego </w:t>
      </w:r>
      <w:r>
        <w:rPr>
          <w:rFonts w:ascii="Arial Narrow" w:eastAsia="Arial Narrow" w:hAnsi="Arial Narrow" w:cs="Arial Narrow"/>
        </w:rPr>
        <w:br/>
        <w:t>i Rady (UE) 2016/679)</w:t>
      </w:r>
    </w:p>
    <w:p w14:paraId="672A6659" w14:textId="77777777" w:rsidR="00EA07E9" w:rsidRDefault="00EA07E9">
      <w:pPr>
        <w:jc w:val="center"/>
        <w:rPr>
          <w:rFonts w:ascii="Arial Narrow" w:eastAsia="Arial Narrow" w:hAnsi="Arial Narrow" w:cs="Arial Narrow"/>
        </w:rPr>
      </w:pPr>
    </w:p>
    <w:p w14:paraId="6D603F6B" w14:textId="141B8A83" w:rsidR="00EA07E9" w:rsidRDefault="00594341">
      <w:pPr>
        <w:spacing w:after="120" w:line="240" w:lineRule="auto"/>
        <w:jc w:val="both"/>
        <w:rPr>
          <w:rFonts w:ascii="Arial Narrow" w:eastAsia="Arial Narrow" w:hAnsi="Arial Narrow" w:cs="Arial Narrow"/>
        </w:rPr>
      </w:pPr>
      <w:r>
        <w:rPr>
          <w:rFonts w:ascii="Arial Narrow" w:eastAsia="Arial Narrow" w:hAnsi="Arial Narrow" w:cs="Arial Narrow"/>
        </w:rPr>
        <w:t xml:space="preserve">W związku z przystąpieniem do projektu pn. </w:t>
      </w:r>
      <w:r>
        <w:rPr>
          <w:rFonts w:ascii="Arial Narrow" w:eastAsia="Arial Narrow" w:hAnsi="Arial Narrow" w:cs="Arial Narrow"/>
          <w:b/>
        </w:rPr>
        <w:t>„Dostępny przedsiębiorca – szkolenia i doradztwo w zakresie technologii asystujących, kompensacyjnych i projektowania uniwersalnego”</w:t>
      </w:r>
      <w:r>
        <w:rPr>
          <w:rFonts w:ascii="Arial Narrow" w:eastAsia="Arial Narrow" w:hAnsi="Arial Narrow" w:cs="Arial Narrow"/>
        </w:rPr>
        <w:t xml:space="preserve"> przyjmuję do wiadomości, iż: </w:t>
      </w:r>
    </w:p>
    <w:p w14:paraId="26E7D120"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1. Administratorem danych osobowych Przedsiębiorcy i/lub jego pracowników w odniesieniu do zbioru pn. „Programu Operacyjnego Wiedza Edukacja Rozwój 2014-2020” (dalej: PO WER 2014-2020) jest Minister właściwy do spraw rozwoju regionalnego, pełniący funkcję Instytucji Zarządzającej dla Programu Operacyjnego Wiedza Edukacja Rozwój 2014-2020, mający siedzibę przy ul. Wspólnej 2/4, 00-926 Warszawa (dalej: Instytucja Zarządzająca).</w:t>
      </w:r>
    </w:p>
    <w:p w14:paraId="264E8474"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2. Administratorem danych osobowych w odniesieniu do zbioru pn. „Centralny system teleinformatyczny wspierający realizację programów operacyjnych” jest Minister właściwy do spraw rozwoju regionalnego.</w:t>
      </w:r>
    </w:p>
    <w:p w14:paraId="2D3C2916"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 xml:space="preserve">3. Instytucja Zarządzająca powołała Inspektora Ochrony Danych, z którym kontakt jest możliwy pod adresem email: </w:t>
      </w:r>
      <w:hyperlink r:id="rId8" w:history="1">
        <w:r w:rsidRPr="00537C31">
          <w:rPr>
            <w:rStyle w:val="Hipercze"/>
            <w:rFonts w:ascii="Arial Narrow" w:eastAsia="Arial Narrow" w:hAnsi="Arial Narrow" w:cs="Arial Narrow"/>
          </w:rPr>
          <w:t>iod@miir.gov.pl</w:t>
        </w:r>
      </w:hyperlink>
      <w:r w:rsidRPr="00537C31">
        <w:rPr>
          <w:rFonts w:ascii="Arial Narrow" w:eastAsia="Arial Narrow" w:hAnsi="Arial Narrow" w:cs="Arial Narrow"/>
        </w:rPr>
        <w:t>.</w:t>
      </w:r>
    </w:p>
    <w:p w14:paraId="78010DC0"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4. Dane osobowe przetwarzane są na podstawie art. 6 ust. 1 lit. c oraz art. 9 ust. 2 lit. g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Oznacza to, że dane osobowe Pracownika są niezbędne do wypełnienia przez Instytucję Zarządzającą obowiązków prawnych ciążących na niej w związku z realizacją PO WER 2014-2020. Wspomniane obowiązki prawne ciążące na Instytucji Zarządzającej w związku z realizacją PO WER 2014-2020 określone zostały przepisami m.in. niżej wymienionych aktach prawnych:</w:t>
      </w:r>
    </w:p>
    <w:p w14:paraId="5B797A01"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E4A70EC"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b) rozporządzenia Parlamentu Europejskiego i Rady (UE) nr 1304/2013 z dnia 17 grudnia 2013 r. w sprawie Europejskiego Funduszu Społecznego i uchylającego rozporządzenie Rady (WE) nr 1081/2006 (Dz. Urz. UE L 347 z 20.12.2013, str. 470, z późn. zm.),</w:t>
      </w:r>
    </w:p>
    <w:p w14:paraId="68DAF189"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c) ustawy z dnia 11 lipca 2014 r. o zasadach realizacji programów w zakresie polityki spójności finansowanych w perspektywie finansowej 2014–2020 (Dz. U. z 2017 r. poz. 1460, z późn. zm.);przepisy dotyczące wymiany informacji między beneficjentami a instytucjami zarządzającymi, certyfikującymi, audytowymi i pośredniczącymi.,</w:t>
      </w:r>
    </w:p>
    <w:p w14:paraId="327112E0"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36EDE9C0"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5. Dane osobowe będą przetwarzane wyłącznie w celu wykonania przez Instytucję Zarządzającą określonych prawem obowiązków w związku z realizacją Projektu, w szczególności potwierdzenia kwalifikowalności wydatków, udzielenia wsparcia, monitoringu, ewaluacji, kontroli, audytu i sprawozdawczości oraz działań informacyjno-promocyjnych w ramach PO WER.</w:t>
      </w:r>
    </w:p>
    <w:p w14:paraId="602D4470" w14:textId="5DC1BCB4"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lastRenderedPageBreak/>
        <w:t xml:space="preserve">6. Dane osobowe zostały powierzone do przetwarzania, Instytucji Pośredniczącej - Polska Agencja Rozwoju Przedsiębiorczości z siedzibą w Warszawie (00-834) przy ul. Pańskiej 81/83), </w:t>
      </w:r>
      <w:r w:rsidR="002E2759" w:rsidRPr="002E2759">
        <w:rPr>
          <w:rFonts w:ascii="Arial Narrow" w:eastAsia="Arial Narrow" w:hAnsi="Arial Narrow" w:cs="Arial Narrow"/>
        </w:rPr>
        <w:t>beneficjentowi realizującemu projekt UT</w:t>
      </w:r>
      <w:r w:rsidR="00CC1F95">
        <w:rPr>
          <w:rFonts w:ascii="Arial Narrow" w:eastAsia="Arial Narrow" w:hAnsi="Arial Narrow" w:cs="Arial Narrow"/>
        </w:rPr>
        <w:t>ILITIA Sp. z o.o. ul. Świętokrzyska 14 30-015</w:t>
      </w:r>
      <w:r w:rsidR="002E2759" w:rsidRPr="002E2759">
        <w:rPr>
          <w:rFonts w:ascii="Arial Narrow" w:eastAsia="Arial Narrow" w:hAnsi="Arial Narrow" w:cs="Arial Narrow"/>
        </w:rPr>
        <w:t xml:space="preserve"> Kraków </w:t>
      </w:r>
      <w:r w:rsidR="001D34F5" w:rsidRPr="001D34F5">
        <w:rPr>
          <w:rFonts w:ascii="Arial Narrow" w:eastAsia="Arial Narrow" w:hAnsi="Arial Narrow" w:cs="Arial Narrow"/>
        </w:rPr>
        <w:t xml:space="preserve">oraz podmiotom, które na zlecenie beneficjenta uczestniczą w realizacji projektu </w:t>
      </w:r>
      <w:r w:rsidR="002E2759" w:rsidRPr="002E2759">
        <w:rPr>
          <w:rFonts w:ascii="Arial Narrow" w:eastAsia="Arial Narrow" w:hAnsi="Arial Narrow" w:cs="Arial Narrow"/>
        </w:rPr>
        <w:t>tj: firmie Eurokreator s.c. Rafał Kunaszyk Anna Kunaszyk, ul. Przemysłowa 13/1U, 30-701 Kraków i Fundacji Centrum Europy Lokalnej, ul. Kr</w:t>
      </w:r>
      <w:r w:rsidR="001D34F5">
        <w:rPr>
          <w:rFonts w:ascii="Arial Narrow" w:eastAsia="Arial Narrow" w:hAnsi="Arial Narrow" w:cs="Arial Narrow"/>
        </w:rPr>
        <w:t xml:space="preserve">akowska 8/10/105, 25-029 Kielce. </w:t>
      </w:r>
      <w:r w:rsidR="002E2759">
        <w:rPr>
          <w:rFonts w:ascii="Arial Narrow" w:eastAsia="Arial Narrow" w:hAnsi="Arial Narrow" w:cs="Arial Narrow"/>
        </w:rPr>
        <w:t>D</w:t>
      </w:r>
      <w:r w:rsidR="002E2759" w:rsidRPr="002E2759">
        <w:rPr>
          <w:rFonts w:ascii="Arial Narrow" w:eastAsia="Arial Narrow" w:hAnsi="Arial Narrow" w:cs="Arial Narrow"/>
        </w:rPr>
        <w:t xml:space="preserve">ane osobowe mogą zostać przekazane podmiotom realizującym badania ewaluacyjne na zlecenie Instytucji Zarządzającej, Instytucji Pośredniczącej lub beneficjenta. </w:t>
      </w:r>
      <w:r w:rsidRPr="00537C31">
        <w:rPr>
          <w:rFonts w:ascii="Arial Narrow" w:eastAsia="Arial Narrow" w:hAnsi="Arial Narrow" w:cs="Arial Narrow"/>
        </w:rPr>
        <w:t xml:space="preserve"> D</w:t>
      </w:r>
      <w:bookmarkStart w:id="1" w:name="_GoBack"/>
      <w:bookmarkEnd w:id="1"/>
      <w:r w:rsidRPr="00537C31">
        <w:rPr>
          <w:rFonts w:ascii="Arial Narrow" w:eastAsia="Arial Narrow" w:hAnsi="Arial Narrow" w:cs="Arial Narrow"/>
        </w:rPr>
        <w:t>ane osobowe mogą zostać również powierzone specjalistycznym firmom, realizującym na zlecenie Instytucji Zarządzającej, Instytucji Pośredniczącej oraz beneficjenta kontrole i audyt w ramach PO WER.</w:t>
      </w:r>
    </w:p>
    <w:p w14:paraId="43A766C9"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7. Dane osobowe, zgodnie z obowiązującymi przepisami prawa, są udostępniane uprawnionym podmiotom i instytucjom, w tym Ministrowi właściwemu do spraw rozwoju regionalnego.</w:t>
      </w:r>
    </w:p>
    <w:p w14:paraId="081F0EA8"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8. Dane osobowe, zgodnie z obowiązującymi przepisami prawa, mogą zostać przekazane podmiotom realizującym badania ewaluacyjne na zlecenie Instytucji Zarządzającej, Instytucji Pośredniczącej lub Beneficjenta.</w:t>
      </w:r>
    </w:p>
    <w:p w14:paraId="2A81EA25"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9. Dane osobowe mogą zostać również powierzone specjalistycznym firmom, realizującym na zlecenie Instytucji Zarządzającej, Instytucji Pośredniczącej oraz beneficjenta kontrole i audyt w ramach PO WER, w szczególności na zlecenie Instytucji Zarządzającej PO WER, Instytucji Pośredniczącej lub Beneficjenta.</w:t>
      </w:r>
    </w:p>
    <w:p w14:paraId="5500603C"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10. Dane osobowe będą przechowywane do czasu akceptacji sprawozdania końcowego z realizacji Programu Operacyjnego Wiedza Edukacja Rozwój na lata 2014-2020 przez Komisję Europejską oraz zakończenia archiwizowania dokumentacji.</w:t>
      </w:r>
    </w:p>
    <w:p w14:paraId="0A78D2FD"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11. W każdym czasie Beneficjentowi Pomocy oraz delegowanym przez niego pracownikom przysługuje prawo dostępu do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5842EAAE"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12. Jeżeli Beneficjent Pomocy oraz delegowany przez niego pracownik projektu uzna, że przetwarzanie jego danych osobowych narusza przepisy o ochronie danych osobowych, ma prawo wnieść skargę do organu nadzorczego, tj. Prezesa Urzędu Ochrony Danych Osobowych.</w:t>
      </w:r>
    </w:p>
    <w:p w14:paraId="1A320CF3"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13. Podanie danych jest dobrowolne, aczkolwiek odmowa ich podania jest równoznaczna z brakiem możliwości udzielenia wsparcia w ramach Projektu.</w:t>
      </w:r>
    </w:p>
    <w:p w14:paraId="0D2783CC"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14. Dane osobowe nie będą przekazywane do państw trzecich poza obszar Unii Europejskiej.</w:t>
      </w:r>
    </w:p>
    <w:p w14:paraId="3FF7E175"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15. Dane osobowe nie będą podlegały profilowaniu.</w:t>
      </w:r>
    </w:p>
    <w:p w14:paraId="23910FC3" w14:textId="77777777" w:rsidR="00537C31" w:rsidRPr="00537C31" w:rsidRDefault="00537C31" w:rsidP="00537C31">
      <w:pPr>
        <w:spacing w:after="120" w:line="240" w:lineRule="auto"/>
        <w:jc w:val="both"/>
        <w:rPr>
          <w:rFonts w:ascii="Arial Narrow" w:eastAsia="Arial Narrow" w:hAnsi="Arial Narrow" w:cs="Arial Narrow"/>
        </w:rPr>
      </w:pPr>
      <w:r w:rsidRPr="00537C31">
        <w:rPr>
          <w:rFonts w:ascii="Arial Narrow" w:eastAsia="Arial Narrow" w:hAnsi="Arial Narrow" w:cs="Arial Narrow"/>
        </w:rPr>
        <w:t>16. Dane osobowe nie będą poddawane zautomatyzowanemu podejmowaniu decyzji.</w:t>
      </w:r>
    </w:p>
    <w:p w14:paraId="0A37501D" w14:textId="599A5655" w:rsidR="00EA07E9" w:rsidRDefault="00EA07E9">
      <w:pPr>
        <w:spacing w:after="60"/>
        <w:ind w:left="357"/>
        <w:jc w:val="both"/>
        <w:rPr>
          <w:rFonts w:ascii="Arial Narrow" w:eastAsia="Arial Narrow" w:hAnsi="Arial Narrow" w:cs="Arial Narrow"/>
        </w:rPr>
      </w:pPr>
    </w:p>
    <w:p w14:paraId="10EED339" w14:textId="77777777" w:rsidR="00537C31" w:rsidRDefault="00537C31">
      <w:pPr>
        <w:spacing w:after="60"/>
        <w:ind w:left="357"/>
        <w:jc w:val="both"/>
        <w:rPr>
          <w:rFonts w:ascii="Arial Narrow" w:eastAsia="Arial Narrow" w:hAnsi="Arial Narrow" w:cs="Arial Narrow"/>
        </w:rPr>
      </w:pPr>
    </w:p>
    <w:tbl>
      <w:tblPr>
        <w:tblStyle w:val="a"/>
        <w:tblW w:w="9212" w:type="dxa"/>
        <w:tblInd w:w="0" w:type="dxa"/>
        <w:tblLayout w:type="fixed"/>
        <w:tblLook w:val="0400" w:firstRow="0" w:lastRow="0" w:firstColumn="0" w:lastColumn="0" w:noHBand="0" w:noVBand="1"/>
      </w:tblPr>
      <w:tblGrid>
        <w:gridCol w:w="4248"/>
        <w:gridCol w:w="4964"/>
      </w:tblGrid>
      <w:tr w:rsidR="00EA07E9" w14:paraId="0ED430D4" w14:textId="77777777">
        <w:tc>
          <w:tcPr>
            <w:tcW w:w="4248" w:type="dxa"/>
          </w:tcPr>
          <w:p w14:paraId="0DF3042B" w14:textId="77777777" w:rsidR="00EA07E9" w:rsidRDefault="00594341">
            <w:pPr>
              <w:spacing w:after="60"/>
              <w:jc w:val="center"/>
              <w:rPr>
                <w:rFonts w:ascii="Arial Narrow" w:eastAsia="Arial Narrow" w:hAnsi="Arial Narrow" w:cs="Arial Narrow"/>
              </w:rPr>
            </w:pPr>
            <w:r>
              <w:rPr>
                <w:rFonts w:ascii="Arial Narrow" w:eastAsia="Arial Narrow" w:hAnsi="Arial Narrow" w:cs="Arial Narrow"/>
              </w:rPr>
              <w:t>……………………………………………</w:t>
            </w:r>
          </w:p>
        </w:tc>
        <w:tc>
          <w:tcPr>
            <w:tcW w:w="4964" w:type="dxa"/>
          </w:tcPr>
          <w:p w14:paraId="177AF992" w14:textId="77777777" w:rsidR="00EA07E9" w:rsidRDefault="00594341">
            <w:pPr>
              <w:spacing w:after="60"/>
              <w:jc w:val="center"/>
              <w:rPr>
                <w:rFonts w:ascii="Arial Narrow" w:eastAsia="Arial Narrow" w:hAnsi="Arial Narrow" w:cs="Arial Narrow"/>
              </w:rPr>
            </w:pPr>
            <w:r>
              <w:rPr>
                <w:rFonts w:ascii="Arial Narrow" w:eastAsia="Arial Narrow" w:hAnsi="Arial Narrow" w:cs="Arial Narrow"/>
              </w:rPr>
              <w:t>……………………………………………</w:t>
            </w:r>
          </w:p>
        </w:tc>
      </w:tr>
      <w:tr w:rsidR="00EA07E9" w14:paraId="082952D0" w14:textId="77777777">
        <w:tc>
          <w:tcPr>
            <w:tcW w:w="4248" w:type="dxa"/>
          </w:tcPr>
          <w:p w14:paraId="3A5C6B3A" w14:textId="77777777" w:rsidR="00EA07E9" w:rsidRDefault="00594341">
            <w:pPr>
              <w:spacing w:after="60"/>
              <w:jc w:val="center"/>
              <w:rPr>
                <w:rFonts w:ascii="Arial Narrow" w:eastAsia="Arial Narrow" w:hAnsi="Arial Narrow" w:cs="Arial Narrow"/>
                <w:i/>
              </w:rPr>
            </w:pPr>
            <w:r>
              <w:rPr>
                <w:rFonts w:ascii="Arial Narrow" w:eastAsia="Arial Narrow" w:hAnsi="Arial Narrow" w:cs="Arial Narrow"/>
                <w:i/>
              </w:rPr>
              <w:t>MIEJSCOWOŚĆ I DATA</w:t>
            </w:r>
          </w:p>
        </w:tc>
        <w:tc>
          <w:tcPr>
            <w:tcW w:w="4964" w:type="dxa"/>
          </w:tcPr>
          <w:p w14:paraId="17118CF5" w14:textId="77777777" w:rsidR="00EA07E9" w:rsidRDefault="00594341">
            <w:pPr>
              <w:spacing w:after="60"/>
              <w:jc w:val="both"/>
              <w:rPr>
                <w:rFonts w:ascii="Arial Narrow" w:eastAsia="Arial Narrow" w:hAnsi="Arial Narrow" w:cs="Arial Narrow"/>
              </w:rPr>
            </w:pPr>
            <w:r>
              <w:rPr>
                <w:rFonts w:ascii="Arial Narrow" w:eastAsia="Arial Narrow" w:hAnsi="Arial Narrow" w:cs="Arial Narrow"/>
                <w:i/>
              </w:rPr>
              <w:t>CZYTELNY PODPIS UCZESTNIKA PROJEKTU</w:t>
            </w:r>
            <w:r>
              <w:rPr>
                <w:rFonts w:ascii="Arial Narrow" w:eastAsia="Arial Narrow" w:hAnsi="Arial Narrow" w:cs="Arial Narrow"/>
                <w:i/>
                <w:vertAlign w:val="superscript"/>
              </w:rPr>
              <w:footnoteReference w:id="1"/>
            </w:r>
            <w:r>
              <w:rPr>
                <w:rFonts w:ascii="Arial Narrow" w:eastAsia="Arial Narrow" w:hAnsi="Arial Narrow" w:cs="Arial Narrow"/>
                <w:i/>
                <w:vertAlign w:val="superscript"/>
              </w:rPr>
              <w:t>*</w:t>
            </w:r>
          </w:p>
        </w:tc>
      </w:tr>
    </w:tbl>
    <w:p w14:paraId="5DAB6C7B" w14:textId="77777777" w:rsidR="00EA07E9" w:rsidRDefault="00EA07E9">
      <w:pPr>
        <w:rPr>
          <w:rFonts w:ascii="Arial Narrow" w:eastAsia="Arial Narrow" w:hAnsi="Arial Narrow" w:cs="Arial Narrow"/>
        </w:rPr>
      </w:pPr>
    </w:p>
    <w:p w14:paraId="02EB378F" w14:textId="77777777" w:rsidR="00EA07E9" w:rsidRDefault="00EA07E9">
      <w:pPr>
        <w:rPr>
          <w:rFonts w:ascii="Arial Narrow" w:eastAsia="Arial Narrow" w:hAnsi="Arial Narrow" w:cs="Arial Narrow"/>
        </w:rPr>
      </w:pPr>
    </w:p>
    <w:sectPr w:rsidR="00EA07E9">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7DC3E" w14:textId="77777777" w:rsidR="008B0002" w:rsidRDefault="008B0002">
      <w:pPr>
        <w:spacing w:after="0" w:line="240" w:lineRule="auto"/>
      </w:pPr>
      <w:r>
        <w:separator/>
      </w:r>
    </w:p>
  </w:endnote>
  <w:endnote w:type="continuationSeparator" w:id="0">
    <w:p w14:paraId="4E45A643" w14:textId="77777777" w:rsidR="008B0002" w:rsidRDefault="008B0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55828" w14:textId="77777777" w:rsidR="008B0002" w:rsidRDefault="008B0002">
      <w:pPr>
        <w:spacing w:after="0" w:line="240" w:lineRule="auto"/>
      </w:pPr>
      <w:r>
        <w:separator/>
      </w:r>
    </w:p>
  </w:footnote>
  <w:footnote w:type="continuationSeparator" w:id="0">
    <w:p w14:paraId="63906247" w14:textId="77777777" w:rsidR="008B0002" w:rsidRDefault="008B0002">
      <w:pPr>
        <w:spacing w:after="0" w:line="240" w:lineRule="auto"/>
      </w:pPr>
      <w:r>
        <w:continuationSeparator/>
      </w:r>
    </w:p>
  </w:footnote>
  <w:footnote w:id="1">
    <w:p w14:paraId="2C8A7BDB" w14:textId="77777777" w:rsidR="00EA07E9" w:rsidRDefault="00594341">
      <w:pPr>
        <w:pBdr>
          <w:top w:val="nil"/>
          <w:left w:val="nil"/>
          <w:bottom w:val="nil"/>
          <w:right w:val="nil"/>
          <w:between w:val="nil"/>
        </w:pBdr>
        <w:spacing w:after="0" w:line="240" w:lineRule="auto"/>
        <w:jc w:val="both"/>
        <w:rPr>
          <w:rFonts w:cs="Calibri"/>
          <w:color w:val="000000"/>
          <w:sz w:val="20"/>
          <w:szCs w:val="20"/>
        </w:rPr>
      </w:pPr>
      <w:r>
        <w:rPr>
          <w:vertAlign w:val="superscript"/>
        </w:rPr>
        <w:footnoteRef/>
      </w:r>
      <w:r>
        <w:rPr>
          <w:rFonts w:cs="Calibri"/>
          <w:color w:val="000000"/>
          <w:sz w:val="20"/>
          <w:szCs w:val="20"/>
          <w:vertAlign w:val="superscript"/>
        </w:rPr>
        <w:t>*</w:t>
      </w:r>
      <w:r>
        <w:rPr>
          <w:rFonts w:cs="Calibri"/>
          <w:color w:val="000000"/>
          <w:sz w:val="16"/>
          <w:szCs w:val="16"/>
        </w:rPr>
        <w:tab/>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B940D" w14:textId="5115C2F1" w:rsidR="00EA07E9" w:rsidRDefault="0076171D">
    <w:pPr>
      <w:pBdr>
        <w:top w:val="nil"/>
        <w:left w:val="nil"/>
        <w:bottom w:val="nil"/>
        <w:right w:val="nil"/>
        <w:between w:val="nil"/>
      </w:pBdr>
      <w:tabs>
        <w:tab w:val="center" w:pos="4536"/>
        <w:tab w:val="right" w:pos="9072"/>
      </w:tabs>
      <w:spacing w:after="0" w:line="240" w:lineRule="auto"/>
      <w:jc w:val="center"/>
      <w:rPr>
        <w:rFonts w:cs="Calibri"/>
        <w:color w:val="000000"/>
      </w:rPr>
    </w:pPr>
    <w:r w:rsidRPr="005A4C1E">
      <w:rPr>
        <w:noProof/>
        <w:color w:val="000000"/>
      </w:rPr>
      <w:drawing>
        <wp:inline distT="0" distB="0" distL="0" distR="0" wp14:anchorId="639D1F1C" wp14:editId="1DBF5B14">
          <wp:extent cx="5661660" cy="814156"/>
          <wp:effectExtent l="0" t="0" r="0" b="5080"/>
          <wp:docPr id="1" name="Obraz 1" descr="C:\Users\edyta.skalska\Pictures\par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yta.skalska\Pictures\par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110" cy="836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1C8"/>
    <w:multiLevelType w:val="multilevel"/>
    <w:tmpl w:val="39B0A25A"/>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A063C8B"/>
    <w:multiLevelType w:val="multilevel"/>
    <w:tmpl w:val="A458578A"/>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9BB1417"/>
    <w:multiLevelType w:val="multilevel"/>
    <w:tmpl w:val="EAFED7B0"/>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0C74324"/>
    <w:multiLevelType w:val="multilevel"/>
    <w:tmpl w:val="E1484BF0"/>
    <w:lvl w:ilvl="0">
      <w:start w:val="1"/>
      <w:numFmt w:val="decimal"/>
      <w:lvlText w:val="%1."/>
      <w:lvlJc w:val="left"/>
      <w:pPr>
        <w:ind w:left="36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0D43F41"/>
    <w:multiLevelType w:val="multilevel"/>
    <w:tmpl w:val="A5A2E4B4"/>
    <w:lvl w:ilvl="0">
      <w:start w:val="1"/>
      <w:numFmt w:val="decimal"/>
      <w:lvlText w:val="%1."/>
      <w:lvlJc w:val="left"/>
      <w:pPr>
        <w:ind w:left="360" w:hanging="360"/>
      </w:pPr>
      <w:rPr>
        <w:i/>
      </w:rPr>
    </w:lvl>
    <w:lvl w:ilvl="1">
      <w:start w:val="1"/>
      <w:numFmt w:val="decimal"/>
      <w:lvlText w:val="%2)"/>
      <w:lvlJc w:val="left"/>
      <w:pPr>
        <w:ind w:left="680" w:hanging="323"/>
      </w:pPr>
      <w:rPr>
        <w:i/>
      </w:rPr>
    </w:lvl>
    <w:lvl w:ilvl="2">
      <w:start w:val="1"/>
      <w:numFmt w:val="lowerLetter"/>
      <w:lvlText w:val="%3)"/>
      <w:lvlJc w:val="left"/>
      <w:pPr>
        <w:ind w:left="680" w:hanging="323"/>
      </w:pPr>
      <w:rPr>
        <w:i/>
      </w:rPr>
    </w:lvl>
    <w:lvl w:ilvl="3">
      <w:start w:val="1"/>
      <w:numFmt w:val="decimal"/>
      <w:lvlText w:val="(%4)"/>
      <w:lvlJc w:val="left"/>
      <w:pPr>
        <w:ind w:left="567" w:firstLine="142"/>
      </w:pPr>
      <w:rPr>
        <w:i/>
      </w:rPr>
    </w:lvl>
    <w:lvl w:ilvl="4">
      <w:start w:val="1"/>
      <w:numFmt w:val="lowerLetter"/>
      <w:lvlText w:val="%5."/>
      <w:lvlJc w:val="left"/>
      <w:pPr>
        <w:ind w:left="3240" w:hanging="360"/>
      </w:pPr>
      <w:rPr>
        <w:i/>
      </w:rPr>
    </w:lvl>
    <w:lvl w:ilvl="5">
      <w:start w:val="1"/>
      <w:numFmt w:val="lowerRoman"/>
      <w:lvlText w:val="%6."/>
      <w:lvlJc w:val="right"/>
      <w:pPr>
        <w:ind w:left="3960" w:hanging="180"/>
      </w:pPr>
      <w:rPr>
        <w:i/>
      </w:rPr>
    </w:lvl>
    <w:lvl w:ilvl="6">
      <w:start w:val="1"/>
      <w:numFmt w:val="decimal"/>
      <w:lvlText w:val="%7."/>
      <w:lvlJc w:val="left"/>
      <w:pPr>
        <w:ind w:left="4680" w:hanging="360"/>
      </w:pPr>
      <w:rPr>
        <w:i/>
      </w:rPr>
    </w:lvl>
    <w:lvl w:ilvl="7">
      <w:start w:val="1"/>
      <w:numFmt w:val="lowerLetter"/>
      <w:lvlText w:val="%8."/>
      <w:lvlJc w:val="left"/>
      <w:pPr>
        <w:ind w:left="5400" w:hanging="360"/>
      </w:pPr>
      <w:rPr>
        <w:i/>
      </w:rPr>
    </w:lvl>
    <w:lvl w:ilvl="8">
      <w:start w:val="1"/>
      <w:numFmt w:val="lowerRoman"/>
      <w:lvlText w:val="%9."/>
      <w:lvlJc w:val="right"/>
      <w:pPr>
        <w:ind w:left="6120" w:hanging="180"/>
      </w:pPr>
      <w:rPr>
        <w:i/>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7E9"/>
    <w:rsid w:val="00043452"/>
    <w:rsid w:val="0017434E"/>
    <w:rsid w:val="001D34F5"/>
    <w:rsid w:val="002E2759"/>
    <w:rsid w:val="002E611B"/>
    <w:rsid w:val="004F055F"/>
    <w:rsid w:val="00537C31"/>
    <w:rsid w:val="00594341"/>
    <w:rsid w:val="006012C5"/>
    <w:rsid w:val="006232A6"/>
    <w:rsid w:val="0072186E"/>
    <w:rsid w:val="0076171D"/>
    <w:rsid w:val="008B0002"/>
    <w:rsid w:val="00CC1F95"/>
    <w:rsid w:val="00EA07E9"/>
    <w:rsid w:val="1AFE8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A709"/>
  <w15:docId w15:val="{DCF28729-54E3-4A45-B86C-9813E5B8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304E"/>
    <w:rPr>
      <w:rFonts w:cs="Times New Roman"/>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6539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986"/>
  </w:style>
  <w:style w:type="paragraph" w:styleId="Stopka">
    <w:name w:val="footer"/>
    <w:basedOn w:val="Normalny"/>
    <w:link w:val="StopkaZnak"/>
    <w:uiPriority w:val="99"/>
    <w:unhideWhenUsed/>
    <w:rsid w:val="006539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3986"/>
  </w:style>
  <w:style w:type="paragraph" w:styleId="Tekstdymka">
    <w:name w:val="Balloon Text"/>
    <w:basedOn w:val="Normalny"/>
    <w:link w:val="TekstdymkaZnak"/>
    <w:uiPriority w:val="99"/>
    <w:semiHidden/>
    <w:unhideWhenUsed/>
    <w:rsid w:val="006539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986"/>
    <w:rPr>
      <w:rFonts w:ascii="Tahoma" w:hAnsi="Tahoma" w:cs="Tahoma"/>
      <w:sz w:val="16"/>
      <w:szCs w:val="16"/>
    </w:rPr>
  </w:style>
  <w:style w:type="paragraph" w:styleId="Akapitzlist">
    <w:name w:val="List Paragraph"/>
    <w:basedOn w:val="Normalny"/>
    <w:uiPriority w:val="34"/>
    <w:qFormat/>
    <w:rsid w:val="008F6530"/>
    <w:pPr>
      <w:ind w:left="720"/>
      <w:contextualSpacing/>
    </w:pPr>
  </w:style>
  <w:style w:type="character" w:styleId="Hipercze">
    <w:name w:val="Hyperlink"/>
    <w:basedOn w:val="Domylnaczcionkaakapitu"/>
    <w:uiPriority w:val="99"/>
    <w:unhideWhenUsed/>
    <w:rsid w:val="00C520F2"/>
    <w:rPr>
      <w:color w:val="0000FF" w:themeColor="hyperlink"/>
      <w:u w:val="single"/>
    </w:rPr>
  </w:style>
  <w:style w:type="paragraph" w:styleId="Tekstprzypisudolnego">
    <w:name w:val="footnote text"/>
    <w:aliases w:val="Podrozdział,Footnote,Podrozdział Znak,Podrozdzia3"/>
    <w:basedOn w:val="Normalny"/>
    <w:link w:val="TekstprzypisudolnegoZnak"/>
    <w:unhideWhenUsed/>
    <w:rsid w:val="00AA304E"/>
    <w:pPr>
      <w:spacing w:after="0" w:line="240" w:lineRule="auto"/>
    </w:pPr>
    <w:rPr>
      <w:sz w:val="20"/>
      <w:szCs w:val="20"/>
    </w:rPr>
  </w:style>
  <w:style w:type="character" w:customStyle="1" w:styleId="TekstprzypisudolnegoZnak">
    <w:name w:val="Tekst przypisu dolnego Znak"/>
    <w:aliases w:val="Podrozdział Znak2,Footnote Znak1,Podrozdział Znak Znak1,Podrozdzia3 Znak1"/>
    <w:basedOn w:val="Domylnaczcionkaakapitu"/>
    <w:link w:val="Tekstprzypisudolnego"/>
    <w:uiPriority w:val="99"/>
    <w:semiHidden/>
    <w:rsid w:val="00AA304E"/>
    <w:rPr>
      <w:rFonts w:ascii="Calibri" w:eastAsia="Calibri" w:hAnsi="Calibri" w:cs="Times New Roman"/>
      <w:sz w:val="20"/>
      <w:szCs w:val="20"/>
    </w:rPr>
  </w:style>
  <w:style w:type="character" w:styleId="Odwoanieprzypisudolnego">
    <w:name w:val="footnote reference"/>
    <w:semiHidden/>
    <w:unhideWhenUsed/>
    <w:rsid w:val="00AA304E"/>
    <w:rPr>
      <w:vertAlign w:val="superscript"/>
    </w:rPr>
  </w:style>
  <w:style w:type="paragraph" w:customStyle="1" w:styleId="Style96">
    <w:name w:val="Style96"/>
    <w:basedOn w:val="Normalny"/>
    <w:rsid w:val="002B4754"/>
    <w:pPr>
      <w:widowControl w:val="0"/>
      <w:autoSpaceDE w:val="0"/>
      <w:autoSpaceDN w:val="0"/>
      <w:adjustRightInd w:val="0"/>
      <w:spacing w:after="0" w:line="158" w:lineRule="exact"/>
      <w:jc w:val="both"/>
    </w:pPr>
    <w:rPr>
      <w:rFonts w:ascii="Arial Unicode MS" w:eastAsia="Arial Unicode MS" w:hAnsi="Times New Roman"/>
      <w:sz w:val="24"/>
      <w:szCs w:val="24"/>
    </w:rPr>
  </w:style>
  <w:style w:type="paragraph" w:customStyle="1" w:styleId="Style104">
    <w:name w:val="Style104"/>
    <w:basedOn w:val="Normalny"/>
    <w:rsid w:val="002B4754"/>
    <w:pPr>
      <w:widowControl w:val="0"/>
      <w:autoSpaceDE w:val="0"/>
      <w:autoSpaceDN w:val="0"/>
      <w:adjustRightInd w:val="0"/>
      <w:spacing w:after="0" w:line="163" w:lineRule="exact"/>
      <w:jc w:val="both"/>
    </w:pPr>
    <w:rPr>
      <w:rFonts w:ascii="Arial Unicode MS" w:eastAsia="Arial Unicode MS" w:hAnsi="Times New Roman"/>
      <w:sz w:val="24"/>
      <w:szCs w:val="24"/>
    </w:rPr>
  </w:style>
  <w:style w:type="character" w:customStyle="1" w:styleId="FontStyle139">
    <w:name w:val="Font Style139"/>
    <w:basedOn w:val="Domylnaczcionkaakapitu"/>
    <w:rsid w:val="002B4754"/>
    <w:rPr>
      <w:rFonts w:ascii="Times New Roman" w:hAnsi="Times New Roman" w:cs="Times New Roman"/>
      <w:sz w:val="12"/>
      <w:szCs w:val="12"/>
    </w:rPr>
  </w:style>
  <w:style w:type="table" w:styleId="Tabela-Siatka">
    <w:name w:val="Table Grid"/>
    <w:basedOn w:val="Standardowy"/>
    <w:uiPriority w:val="59"/>
    <w:rsid w:val="00E9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153D20"/>
    <w:rPr>
      <w:rFonts w:ascii="Times New Roman" w:hAnsi="Times New Roman" w:cs="Times New Roman"/>
      <w:b/>
      <w:bCs/>
      <w:sz w:val="12"/>
      <w:szCs w:val="12"/>
    </w:rPr>
  </w:style>
  <w:style w:type="character" w:customStyle="1" w:styleId="TekstprzypisudolnegoZnak1">
    <w:name w:val="Tekst przypisu dolnego Znak1"/>
    <w:aliases w:val="Podrozdział Znak1,Footnote Znak,Podrozdział Znak Znak,Podrozdzia3 Znak"/>
    <w:uiPriority w:val="99"/>
    <w:semiHidden/>
    <w:locked/>
    <w:rsid w:val="003346EF"/>
    <w:rPr>
      <w:rFonts w:ascii="Times New Roman" w:eastAsia="Times New Roman" w:hAnsi="Times New Roman" w:cs="Times New Roman"/>
      <w:sz w:val="20"/>
      <w:szCs w:val="20"/>
      <w:lang w:eastAsia="zh-CN"/>
    </w:rPr>
  </w:style>
  <w:style w:type="character" w:customStyle="1" w:styleId="Znakiprzypiswdolnych">
    <w:name w:val="Znaki przypisów dolnych"/>
    <w:rsid w:val="003346EF"/>
    <w:rPr>
      <w:vertAlign w:val="superscript"/>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634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6QAYArlGXFIaCGjlRFjvj5R1A==">AMUW2mW4djoNUeAON3Dfb/jYAWIOf7VyVUFKH0L9Rt8hj2AxTVgBIrRUk8z4N2egIG9d6zYhe7IEzNkgUyhpNldB6AHxPOVp5FdsikU78lvQR4/L5OTNAUW9oH39DRGVzp8RpJBYd3Ot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981</Words>
  <Characters>5892</Characters>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2021-04-26T09:58:00Z</dcterms:created>
  <dcterms:modified xsi:type="dcterms:W3CDTF">2022-05-16T13:35:00Z</dcterms:modified>
</cp:coreProperties>
</file>